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6"/>
        </w:tabs>
        <w:spacing w:before="36"/>
        <w:ind w:left="0" w:right="0" w:firstLine="0"/>
        <w:jc w:val="center"/>
        <w:rPr>
          <w:rFonts w:hint="eastAsia" w:ascii="宋体" w:hAnsi="宋体" w:eastAsia="宋体" w:cs="宋体"/>
          <w:sz w:val="10"/>
        </w:rPr>
      </w:pPr>
      <w:bookmarkStart w:id="0" w:name="_GoBack"/>
      <w:r>
        <w:rPr>
          <w:rFonts w:hint="eastAsia" w:ascii="宋体" w:hAnsi="宋体" w:eastAsia="宋体" w:cs="宋体"/>
          <w:sz w:val="28"/>
        </w:rPr>
        <w:t>表</w:t>
      </w:r>
      <w:r>
        <w:rPr>
          <w:rFonts w:hint="eastAsia" w:ascii="宋体" w:hAnsi="宋体" w:eastAsia="宋体" w:cs="宋体"/>
          <w:spacing w:val="-48"/>
          <w:sz w:val="28"/>
        </w:rPr>
        <w:t xml:space="preserve"> </w:t>
      </w:r>
      <w:r>
        <w:rPr>
          <w:rFonts w:hint="eastAsia" w:ascii="宋体" w:hAnsi="宋体" w:eastAsia="宋体" w:cs="宋体"/>
          <w:sz w:val="28"/>
        </w:rPr>
        <w:t>1</w:t>
      </w:r>
      <w:r>
        <w:rPr>
          <w:rFonts w:hint="eastAsia" w:ascii="宋体" w:hAnsi="宋体" w:eastAsia="宋体" w:cs="宋体"/>
          <w:sz w:val="28"/>
        </w:rPr>
        <w:tab/>
      </w:r>
      <w:r>
        <w:rPr>
          <w:rFonts w:hint="eastAsia" w:ascii="宋体" w:hAnsi="宋体" w:eastAsia="宋体" w:cs="宋体"/>
          <w:spacing w:val="15"/>
          <w:sz w:val="28"/>
        </w:rPr>
        <w:t>计分卡</w:t>
      </w:r>
    </w:p>
    <w:bookmarkEnd w:id="0"/>
    <w:tbl>
      <w:tblPr>
        <w:tblStyle w:val="3"/>
        <w:tblpPr w:leftFromText="180" w:rightFromText="180" w:vertAnchor="text" w:horzAnchor="page" w:tblpX="1656" w:tblpY="344"/>
        <w:tblOverlap w:val="never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796"/>
        <w:gridCol w:w="496"/>
        <w:gridCol w:w="2689"/>
        <w:gridCol w:w="842"/>
        <w:gridCol w:w="1082"/>
        <w:gridCol w:w="1052"/>
        <w:gridCol w:w="124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96" w:type="dxa"/>
          </w:tcPr>
          <w:p>
            <w:pPr>
              <w:pStyle w:val="5"/>
              <w:ind w:left="15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院校</w:t>
            </w:r>
          </w:p>
          <w:p>
            <w:pPr>
              <w:pStyle w:val="5"/>
              <w:spacing w:before="68"/>
              <w:ind w:left="15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代码</w:t>
            </w:r>
          </w:p>
        </w:tc>
        <w:tc>
          <w:tcPr>
            <w:tcW w:w="796" w:type="dxa"/>
          </w:tcPr>
          <w:p>
            <w:pPr>
              <w:pStyle w:val="5"/>
              <w:spacing w:before="15" w:line="280" w:lineRule="auto"/>
              <w:ind w:left="157" w:right="14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院校名称</w:t>
            </w:r>
          </w:p>
        </w:tc>
        <w:tc>
          <w:tcPr>
            <w:tcW w:w="3185" w:type="dxa"/>
            <w:gridSpan w:val="2"/>
          </w:tcPr>
          <w:p>
            <w:pPr>
              <w:pStyle w:val="5"/>
              <w:spacing w:before="195"/>
              <w:ind w:left="1354" w:right="129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指标</w:t>
            </w:r>
          </w:p>
        </w:tc>
        <w:tc>
          <w:tcPr>
            <w:tcW w:w="842" w:type="dxa"/>
          </w:tcPr>
          <w:p>
            <w:pPr>
              <w:pStyle w:val="5"/>
              <w:spacing w:before="195"/>
              <w:ind w:left="182" w:right="12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</w:t>
            </w:r>
          </w:p>
        </w:tc>
        <w:tc>
          <w:tcPr>
            <w:tcW w:w="1082" w:type="dxa"/>
          </w:tcPr>
          <w:p>
            <w:pPr>
              <w:pStyle w:val="5"/>
              <w:spacing w:before="195"/>
              <w:ind w:left="17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2020 年</w:t>
            </w:r>
          </w:p>
        </w:tc>
        <w:tc>
          <w:tcPr>
            <w:tcW w:w="1052" w:type="dxa"/>
          </w:tcPr>
          <w:p>
            <w:pPr>
              <w:pStyle w:val="5"/>
              <w:spacing w:before="195"/>
              <w:ind w:left="154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2021 年</w:t>
            </w:r>
          </w:p>
        </w:tc>
        <w:tc>
          <w:tcPr>
            <w:tcW w:w="1248" w:type="dxa"/>
          </w:tcPr>
          <w:p>
            <w:pPr>
              <w:pStyle w:val="5"/>
              <w:spacing w:before="195"/>
              <w:ind w:left="134" w:right="9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tcW w:w="796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30"/>
              </w:rPr>
            </w:pPr>
          </w:p>
        </w:tc>
        <w:tc>
          <w:tcPr>
            <w:tcW w:w="796" w:type="dxa"/>
            <w:vMerge w:val="restart"/>
          </w:tcPr>
          <w:p>
            <w:pPr>
              <w:pStyle w:val="5"/>
              <w:rPr>
                <w:rFonts w:hint="eastAsia" w:ascii="宋体" w:hAnsi="宋体" w:eastAsia="宋体" w:cs="宋体"/>
                <w:sz w:val="30"/>
              </w:rPr>
            </w:pPr>
          </w:p>
        </w:tc>
        <w:tc>
          <w:tcPr>
            <w:tcW w:w="496" w:type="dxa"/>
          </w:tcPr>
          <w:p>
            <w:pPr>
              <w:pStyle w:val="5"/>
              <w:spacing w:line="293" w:lineRule="exact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689" w:type="dxa"/>
          </w:tcPr>
          <w:p>
            <w:pPr>
              <w:pStyle w:val="5"/>
              <w:spacing w:line="293" w:lineRule="exact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就业率</w:t>
            </w:r>
          </w:p>
        </w:tc>
        <w:tc>
          <w:tcPr>
            <w:tcW w:w="842" w:type="dxa"/>
          </w:tcPr>
          <w:p>
            <w:pPr>
              <w:pStyle w:val="5"/>
              <w:spacing w:before="7"/>
              <w:rPr>
                <w:rFonts w:hint="eastAsia" w:ascii="宋体" w:hAnsi="宋体" w:eastAsia="宋体" w:cs="宋体"/>
                <w:sz w:val="3"/>
              </w:rPr>
            </w:pPr>
          </w:p>
          <w:p>
            <w:pPr>
              <w:pStyle w:val="5"/>
              <w:spacing w:line="183" w:lineRule="exact"/>
              <w:ind w:left="387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3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1052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1248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689" w:type="dxa"/>
          </w:tcPr>
          <w:p>
            <w:pPr>
              <w:pStyle w:val="5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毕业生本省就业比例</w:t>
            </w:r>
          </w:p>
        </w:tc>
        <w:tc>
          <w:tcPr>
            <w:tcW w:w="842" w:type="dxa"/>
          </w:tcPr>
          <w:p>
            <w:pPr>
              <w:pStyle w:val="5"/>
              <w:spacing w:before="8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387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3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8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2689" w:type="dxa"/>
          </w:tcPr>
          <w:p>
            <w:pPr>
              <w:pStyle w:val="5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月收入</w:t>
            </w:r>
          </w:p>
        </w:tc>
        <w:tc>
          <w:tcPr>
            <w:tcW w:w="842" w:type="dxa"/>
          </w:tcPr>
          <w:p>
            <w:pPr>
              <w:pStyle w:val="5"/>
              <w:ind w:left="5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</w:tc>
        <w:tc>
          <w:tcPr>
            <w:tcW w:w="1082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1052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1248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689" w:type="dxa"/>
          </w:tcPr>
          <w:p>
            <w:pPr>
              <w:pStyle w:val="5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理工农医类专业相关度</w:t>
            </w:r>
          </w:p>
        </w:tc>
        <w:tc>
          <w:tcPr>
            <w:tcW w:w="842" w:type="dxa"/>
          </w:tcPr>
          <w:p>
            <w:pPr>
              <w:pStyle w:val="5"/>
              <w:spacing w:before="9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387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3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8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2689" w:type="dxa"/>
          </w:tcPr>
          <w:p>
            <w:pPr>
              <w:pStyle w:val="5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母校满意度</w:t>
            </w:r>
          </w:p>
        </w:tc>
        <w:tc>
          <w:tcPr>
            <w:tcW w:w="842" w:type="dxa"/>
          </w:tcPr>
          <w:p>
            <w:pPr>
              <w:pStyle w:val="5"/>
              <w:spacing w:before="8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387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3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8" w:type="dxa"/>
          </w:tcPr>
          <w:p>
            <w:pPr>
              <w:pStyle w:val="5"/>
              <w:ind w:left="135" w:right="9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spacing w:line="293" w:lineRule="exact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2689" w:type="dxa"/>
          </w:tcPr>
          <w:p>
            <w:pPr>
              <w:pStyle w:val="5"/>
              <w:spacing w:line="293" w:lineRule="exact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自主创业比例</w:t>
            </w:r>
          </w:p>
        </w:tc>
        <w:tc>
          <w:tcPr>
            <w:tcW w:w="842" w:type="dxa"/>
          </w:tcPr>
          <w:p>
            <w:pPr>
              <w:pStyle w:val="5"/>
              <w:spacing w:before="6"/>
              <w:rPr>
                <w:rFonts w:hint="eastAsia" w:ascii="宋体" w:hAnsi="宋体" w:eastAsia="宋体" w:cs="宋体"/>
                <w:sz w:val="3"/>
              </w:rPr>
            </w:pPr>
          </w:p>
          <w:p>
            <w:pPr>
              <w:pStyle w:val="5"/>
              <w:spacing w:line="183" w:lineRule="exact"/>
              <w:ind w:left="387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3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1052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1248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2689" w:type="dxa"/>
          </w:tcPr>
          <w:p>
            <w:pPr>
              <w:pStyle w:val="5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雇主满意度</w:t>
            </w:r>
          </w:p>
        </w:tc>
        <w:tc>
          <w:tcPr>
            <w:tcW w:w="842" w:type="dxa"/>
          </w:tcPr>
          <w:p>
            <w:pPr>
              <w:pStyle w:val="5"/>
              <w:spacing w:before="9"/>
              <w:rPr>
                <w:rFonts w:hint="eastAsia" w:ascii="宋体" w:hAnsi="宋体" w:eastAsia="宋体" w:cs="宋体"/>
                <w:sz w:val="4"/>
              </w:rPr>
            </w:pPr>
          </w:p>
          <w:p>
            <w:pPr>
              <w:pStyle w:val="5"/>
              <w:spacing w:line="183" w:lineRule="exact"/>
              <w:ind w:left="387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4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52" w:type="dxa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248" w:type="dxa"/>
          </w:tcPr>
          <w:p>
            <w:pPr>
              <w:pStyle w:val="5"/>
              <w:ind w:left="135" w:right="9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学校填报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96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496" w:type="dxa"/>
          </w:tcPr>
          <w:p>
            <w:pPr>
              <w:pStyle w:val="5"/>
              <w:spacing w:line="293" w:lineRule="exact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2689" w:type="dxa"/>
          </w:tcPr>
          <w:p>
            <w:pPr>
              <w:pStyle w:val="5"/>
              <w:spacing w:line="293" w:lineRule="exact"/>
              <w:ind w:left="12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毕业三年晋升比例</w:t>
            </w:r>
          </w:p>
        </w:tc>
        <w:tc>
          <w:tcPr>
            <w:tcW w:w="842" w:type="dxa"/>
          </w:tcPr>
          <w:p>
            <w:pPr>
              <w:pStyle w:val="5"/>
              <w:spacing w:before="6"/>
              <w:rPr>
                <w:rFonts w:hint="eastAsia" w:ascii="宋体" w:hAnsi="宋体" w:eastAsia="宋体" w:cs="宋体"/>
                <w:sz w:val="3"/>
              </w:rPr>
            </w:pPr>
          </w:p>
          <w:p>
            <w:pPr>
              <w:pStyle w:val="5"/>
              <w:spacing w:line="183" w:lineRule="exact"/>
              <w:ind w:left="387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position w:val="-3"/>
                <w:sz w:val="18"/>
              </w:rPr>
              <w:drawing>
                <wp:inline distT="0" distB="0" distL="0" distR="0">
                  <wp:extent cx="65405" cy="116205"/>
                  <wp:effectExtent l="0" t="0" r="10795" b="17145"/>
                  <wp:docPr id="4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1052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1248" w:type="dxa"/>
          </w:tcPr>
          <w:p>
            <w:pPr>
              <w:pStyle w:val="5"/>
              <w:rPr>
                <w:rFonts w:hint="eastAsia" w:ascii="宋体" w:hAnsi="宋体" w:eastAsia="宋体" w:cs="宋体"/>
                <w:sz w:val="26"/>
              </w:rPr>
            </w:pPr>
          </w:p>
        </w:tc>
      </w:tr>
    </w:tbl>
    <w:p>
      <w:pPr>
        <w:pStyle w:val="2"/>
        <w:spacing w:before="7"/>
        <w:rPr>
          <w:rFonts w:hint="eastAsia" w:ascii="宋体" w:hAnsi="宋体" w:eastAsia="宋体" w:cs="宋体"/>
          <w:sz w:val="28"/>
        </w:rPr>
      </w:pPr>
    </w:p>
    <w:p>
      <w:pPr>
        <w:tabs>
          <w:tab w:val="left" w:pos="826"/>
        </w:tabs>
        <w:spacing w:before="148"/>
        <w:ind w:left="0" w:right="56" w:firstLine="0"/>
        <w:jc w:val="center"/>
        <w:rPr>
          <w:rFonts w:hint="eastAsia" w:ascii="宋体" w:hAnsi="宋体" w:eastAsia="宋体" w:cs="宋体"/>
          <w:sz w:val="28"/>
        </w:rPr>
      </w:pPr>
    </w:p>
    <w:p/>
    <w:p/>
    <w:p/>
    <w:p/>
    <w:p/>
    <w:p/>
    <w:p/>
    <w:p/>
    <w:p/>
    <w:p/>
    <w:p/>
    <w:p/>
    <w:p/>
    <w:p/>
    <w:p/>
    <w:p/>
    <w:p/>
    <w:p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二、“计分卡”指标及相关内涵说明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“计分卡”系综合衡量院校人才培养质量的管理评价工具。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就业率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：已就业毕业生人数/毕业生总人数*100%。其中，已就业毕业生包括受雇全职工作人员、受雇半职工作人员、自主创业就业人员、毕业后入伍人员、毕业后读本科人员。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月收入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：指包含奖金、提成、住宿、住房公积金等折算成的现金总和。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理工农医类专业相关度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：指理工农医类专业的毕业生所从事的工作与所学专业相关的比例，分母是理工农医类专业就业的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毕业生人数，分子是理工农医类专业的毕业生所从事的工作与所 学专业相关的人数。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4.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母校满意度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：指本校高职毕业生对母校表示满意的比例。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5.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雇主满意度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：指录用应届高职毕业生的单位或部门对录用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本校学生的满意度评价。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6.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毕业三年晋升比例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：指本校 2015 级高职生毕业三年后有过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职位晋升的比例。分母是本校 2015 级高职毕业生数，分子是毕业 三年后有过职位晋升的本校 2015 级高职毕业生数，其中，职位晋 升形式可包含职级的增加、管理权限的扩大、专业职称的提升及 由此带来的薪资提高。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93E1C"/>
    <w:rsid w:val="0B19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1"/>
      <w:szCs w:val="31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2021-10-28T03:32:00Z</dcterms:created>
  <dc:creator>猫大人</dc:creator>
  <cp:lastModifiedBy>猫大人</cp:lastModifiedBy>
  <dcterms:modified xsi:type="dcterms:W3CDTF">2021-10-28T03:33:11Z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56B41FA631634807A1AA9D91AD2253A1</vt:lpwstr>
  </property>
</Properties>
</file>